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2f3bb1a095f2998b79500a7e6633612d35af84"/>
      <w:r>
        <w:t xml:space="preserve">ISO9001 System Document Package (5) | Organizational Environment and Stakeholder Management Procedures (4.1/4.2)</w:t>
      </w:r>
      <w:bookmarkEnd w:id="20"/>
    </w:p>
    <w:p>
      <w:pPr>
        <w:pStyle w:val="FirstParagraph"/>
      </w:pPr>
      <w:r>
        <w:rPr>
          <w:b/>
        </w:rPr>
        <w:t xml:space="preserve">Document Description</w:t>
      </w:r>
      <w:r>
        <w:t xml:space="preserve">: This procedure corresponds to clauses 4.1</w:t>
      </w:r>
      <w:r>
        <w:t xml:space="preserve"> </w:t>
      </w:r>
      <w:r>
        <w:t xml:space="preserve">“</w:t>
      </w:r>
      <w:r>
        <w:t xml:space="preserve">Understanding the organization and its context</w:t>
      </w:r>
      <w:r>
        <w:t xml:space="preserve">”</w:t>
      </w:r>
      <w:r>
        <w:t xml:space="preserve"> </w:t>
      </w:r>
      <w:r>
        <w:t xml:space="preserve">and 4.2</w:t>
      </w:r>
      <w:r>
        <w:t xml:space="preserve"> </w:t>
      </w:r>
      <w:r>
        <w:t xml:space="preserve">“</w:t>
      </w:r>
      <w:r>
        <w:t xml:space="preserve">Understanding the needs and expectations of interested parties</w:t>
      </w:r>
      <w:r>
        <w:t xml:space="preserve">”</w:t>
      </w:r>
      <w:r>
        <w:t xml:space="preserve"> </w:t>
      </w:r>
      <w:r>
        <w:t xml:space="preserve">in Chapter 4 of the ISO 9001:2015 standard. These are core requirements added in the 2015 edition, positioned at the forefront of the quality management system (QMS). They provide input for determining strategic direction, identifying risks and opportunities, and setting quality objectives. This document specifies the responsibilities, methods, and frequencies for identifying, analyzing, evaluating, and updating internal and external environmental factors and stakeholder needs and expectations, ensuring that the system remains aligned with the company’s operational realities. It is applicable to all enterprises establishing an ISO 9001 system, especially those in manufacturing and service sectors that are growing and facing rapid market changes and complex customer groups. It is also suitable for certified enterprises that need to upgrade to meet the requirements of clauses 4.1 and 4.2 for the first time. The following is a template of the procedure document that can be directly used; when using it, please replace</w:t>
      </w:r>
      <w:r>
        <w:t xml:space="preserve"> </w:t>
      </w:r>
      <w:r>
        <w:t xml:space="preserve">“</w:t>
      </w:r>
      <w:r>
        <w:t xml:space="preserve">Our Company</w:t>
      </w:r>
      <w:r>
        <w:t xml:space="preserve">”</w:t>
      </w:r>
      <w:r>
        <w:t xml:space="preserve"> </w:t>
      </w:r>
      <w:r>
        <w:t xml:space="preserve">with the actual name of your enterprise.</w:t>
      </w:r>
    </w:p>
    <w:p>
      <w:pPr>
        <w:pStyle w:val="Heading2"/>
      </w:pPr>
      <w:bookmarkStart w:id="21" w:name="purpose"/>
      <w:r>
        <w:t xml:space="preserve">1. Purpose</w:t>
      </w:r>
      <w:bookmarkEnd w:id="21"/>
    </w:p>
    <w:p>
      <w:pPr>
        <w:pStyle w:val="FirstParagraph"/>
      </w:pPr>
      <w:r>
        <w:t xml:space="preserve">To systematically identify, analyze, and continuously update the internal and external environmental factors of our company, determine the relevant stakeholders and their needs and expectations related to the quality management system, and provide input for determining strategic direction, identifying risks and opportunities, setting quality objectives, and planning the quality management system. This ensures that the quality management system can adapt to environmental changes and achieve the expected results.</w:t>
      </w:r>
    </w:p>
    <w:p>
      <w:pPr>
        <w:pStyle w:val="Heading2"/>
      </w:pPr>
      <w:bookmarkStart w:id="22" w:name="scope-of-application"/>
      <w:r>
        <w:t xml:space="preserve">2. Scope of Application</w:t>
      </w:r>
      <w:bookmarkEnd w:id="22"/>
    </w:p>
    <w:p>
      <w:pPr>
        <w:pStyle w:val="FirstParagraph"/>
      </w:pPr>
      <w:r>
        <w:t xml:space="preserve">Applicable to the quality management system of our company:</w:t>
      </w:r>
    </w:p>
    <w:p>
      <w:pPr>
        <w:numPr>
          <w:ilvl w:val="0"/>
          <w:numId w:val="1001"/>
        </w:numPr>
        <w:pStyle w:val="Compact"/>
      </w:pPr>
      <w:r>
        <w:t xml:space="preserve">Identification, analysis, evaluation, and updating of internal and external environmental factors (including favorable and unfavorable factors);</w:t>
      </w:r>
    </w:p>
    <w:p>
      <w:pPr>
        <w:numPr>
          <w:ilvl w:val="0"/>
          <w:numId w:val="1001"/>
        </w:numPr>
        <w:pStyle w:val="Compact"/>
      </w:pPr>
      <w:r>
        <w:t xml:space="preserve">Identification of stakeholders related to the quality management system (such as customers, employees, suppliers, shareholders, government regulatory agencies, the general public, etc.);</w:t>
      </w:r>
    </w:p>
    <w:p>
      <w:pPr>
        <w:numPr>
          <w:ilvl w:val="0"/>
          <w:numId w:val="1001"/>
        </w:numPr>
        <w:pStyle w:val="Compact"/>
      </w:pPr>
      <w:r>
        <w:t xml:space="preserve">Determination, review, transformation, and monitoring of stakeholder needs and expectations.</w:t>
      </w:r>
    </w:p>
    <w:p>
      <w:pPr>
        <w:pStyle w:val="FirstParagraph"/>
      </w:pPr>
      <w:r>
        <w:t xml:space="preserve">This procedure does not apply to the management of general business information unrelated to the quality management system, but it encourages departments to refer to this procedure for daily business environment analysis.</w:t>
      </w:r>
    </w:p>
    <w:p>
      <w:pPr>
        <w:pStyle w:val="Heading2"/>
      </w:pPr>
      <w:bookmarkStart w:id="23" w:name="responsibilities"/>
      <w:r>
        <w:t xml:space="preserve">3. Responsibilities</w:t>
      </w:r>
      <w:bookmarkEnd w:id="23"/>
    </w:p>
    <w:p>
      <w:pPr>
        <w:numPr>
          <w:ilvl w:val="0"/>
          <w:numId w:val="1002"/>
        </w:numPr>
        <w:pStyle w:val="Compact"/>
      </w:pPr>
      <w:r>
        <w:rPr>
          <w:b/>
        </w:rPr>
        <w:t xml:space="preserve">General Manager</w:t>
      </w:r>
      <w:r>
        <w:t xml:space="preserve">: Approve the</w:t>
      </w:r>
      <w:r>
        <w:t xml:space="preserve"> </w:t>
      </w:r>
      <w:r>
        <w:t xml:space="preserve">“</w:t>
      </w:r>
      <w:r>
        <w:t xml:space="preserve">Organizational Environmental Factors Identification and Evaluation Form</w:t>
      </w:r>
      <w:r>
        <w:t xml:space="preserve">”</w:t>
      </w:r>
      <w:r>
        <w:t xml:space="preserve"> </w:t>
      </w:r>
      <w:r>
        <w:t xml:space="preserve">and the</w:t>
      </w:r>
      <w:r>
        <w:t xml:space="preserve"> </w:t>
      </w:r>
      <w:r>
        <w:t xml:space="preserve">“</w:t>
      </w:r>
      <w:r>
        <w:t xml:space="preserve">Stakeholder Needs and Expectations Identification Form</w:t>
      </w:r>
      <w:r>
        <w:t xml:space="preserve">”</w:t>
      </w:r>
      <w:r>
        <w:t xml:space="preserve">; chair the annual environmental and stakeholder analysis review meeting; make decisions on significant environmental factors and stakeholder requirements, and determine the response direction.</w:t>
      </w:r>
    </w:p>
    <w:p>
      <w:pPr>
        <w:numPr>
          <w:ilvl w:val="0"/>
          <w:numId w:val="1002"/>
        </w:numPr>
        <w:pStyle w:val="Compact"/>
      </w:pPr>
      <w:r>
        <w:rPr>
          <w:b/>
        </w:rPr>
        <w:t xml:space="preserve">Management Representative (or QMS Department)</w:t>
      </w:r>
      <w:r>
        <w:t xml:space="preserve">: Manage the implementation of this procedure; organize the annual identification, analysis, and evaluation of environmental factors and stakeholder needs; compile relevant records; track the implementation of response measures; use the analysis results as input for management review.</w:t>
      </w:r>
    </w:p>
    <w:p>
      <w:pPr>
        <w:numPr>
          <w:ilvl w:val="0"/>
          <w:numId w:val="1002"/>
        </w:numPr>
        <w:pStyle w:val="Compact"/>
      </w:pPr>
      <w:r>
        <w:rPr>
          <w:b/>
        </w:rPr>
        <w:t xml:space="preserve">Department Heads</w:t>
      </w:r>
      <w:r>
        <w:t xml:space="preserve">: Identify internal and external environmental factors and stakeholder needs related to their departments; fill out the corresponding forms; participate in the annual review meeting; implement response measures within their department’s scope of responsibility.</w:t>
      </w:r>
    </w:p>
    <w:p>
      <w:pPr>
        <w:numPr>
          <w:ilvl w:val="0"/>
          <w:numId w:val="1002"/>
        </w:numPr>
        <w:pStyle w:val="Compact"/>
      </w:pPr>
      <w:r>
        <w:rPr>
          <w:b/>
        </w:rPr>
        <w:t xml:space="preserve">All Employees</w:t>
      </w:r>
      <w:r>
        <w:t xml:space="preserve">: When new environmental factors or significant changes in stakeholder needs are discovered during daily work, they should promptly report to their department head or the QMS department.</w:t>
      </w:r>
    </w:p>
    <w:p>
      <w:pPr>
        <w:pStyle w:val="Heading2"/>
      </w:pPr>
      <w:bookmarkStart w:id="24" w:name="work-procedures"/>
      <w:r>
        <w:t xml:space="preserve">4. Work Procedures</w:t>
      </w:r>
      <w:bookmarkEnd w:id="24"/>
    </w:p>
    <w:p>
      <w:pPr>
        <w:pStyle w:val="Heading3"/>
      </w:pPr>
      <w:bookmarkStart w:id="25" w:name="Xafe65388092bc2306b52836b8d88a4c157c5377"/>
      <w:r>
        <w:t xml:space="preserve">4.1 Identification of Organizational Environmental Information</w:t>
      </w:r>
      <w:bookmarkEnd w:id="25"/>
    </w:p>
    <w:p>
      <w:pPr>
        <w:pStyle w:val="FirstParagraph"/>
      </w:pPr>
      <w:r>
        <w:t xml:space="preserve">The organizational environment is divided into internal and external environmental factors, and both favorable and unfavorable factors must be considered during identification.</w:t>
      </w:r>
    </w:p>
    <w:p>
      <w:pPr>
        <w:numPr>
          <w:ilvl w:val="0"/>
          <w:numId w:val="1003"/>
        </w:numPr>
        <w:pStyle w:val="Compact"/>
      </w:pPr>
      <w:r>
        <w:rPr>
          <w:b/>
        </w:rPr>
        <w:t xml:space="preserve">External Environmental Factors</w:t>
      </w:r>
      <w:r>
        <w:t xml:space="preserve">, including but not limited to:</w:t>
      </w:r>
    </w:p>
    <w:p>
      <w:pPr>
        <w:numPr>
          <w:ilvl w:val="1"/>
          <w:numId w:val="1004"/>
        </w:numPr>
        <w:pStyle w:val="Compact"/>
      </w:pPr>
      <w:r>
        <w:t xml:space="preserve">Political factors: national industrial policies, industry entry requirements, import and export controls, local support or restriction policies;</w:t>
      </w:r>
    </w:p>
    <w:p>
      <w:pPr>
        <w:numPr>
          <w:ilvl w:val="1"/>
          <w:numId w:val="1004"/>
        </w:numPr>
        <w:pStyle w:val="Compact"/>
      </w:pPr>
      <w:r>
        <w:t xml:space="preserve">Economic factors: macroeconomic conditions, exchange rate fluctuations, raw material price volatility, financing environment, industry prosperity;</w:t>
      </w:r>
    </w:p>
    <w:p>
      <w:pPr>
        <w:numPr>
          <w:ilvl w:val="1"/>
          <w:numId w:val="1004"/>
        </w:numPr>
        <w:pStyle w:val="Compact"/>
      </w:pPr>
      <w:r>
        <w:t xml:space="preserve">Social factors: changes in consumer habits, population structure, labor supply, public attention to product quality and environmental protection;</w:t>
      </w:r>
    </w:p>
    <w:p>
      <w:pPr>
        <w:numPr>
          <w:ilvl w:val="1"/>
          <w:numId w:val="1004"/>
        </w:numPr>
        <w:pStyle w:val="Compact"/>
      </w:pPr>
      <w:r>
        <w:t xml:space="preserve">Technological factors: new technologies, processes, and materials in the industry, trends in automation and digitalization;</w:t>
      </w:r>
    </w:p>
    <w:p>
      <w:pPr>
        <w:numPr>
          <w:ilvl w:val="1"/>
          <w:numId w:val="1004"/>
        </w:numPr>
        <w:pStyle w:val="Compact"/>
      </w:pPr>
      <w:r>
        <w:t xml:space="preserve">Legal and regulatory factors: changes in laws, regulations, and standards related to products, services, environmental protection, safety, and labor;</w:t>
      </w:r>
    </w:p>
    <w:p>
      <w:pPr>
        <w:numPr>
          <w:ilvl w:val="1"/>
          <w:numId w:val="1004"/>
        </w:numPr>
        <w:pStyle w:val="Compact"/>
      </w:pPr>
      <w:r>
        <w:t xml:space="preserve">Market and competition factors: changes in market demand, competitor dynamics, changes in customer structure, emergence of substitute products.</w:t>
      </w:r>
    </w:p>
    <w:p>
      <w:pPr>
        <w:numPr>
          <w:ilvl w:val="0"/>
          <w:numId w:val="1003"/>
        </w:numPr>
        <w:pStyle w:val="Compact"/>
      </w:pPr>
      <w:r>
        <w:rPr>
          <w:b/>
        </w:rPr>
        <w:t xml:space="preserve">Internal Environmental Factors</w:t>
      </w:r>
      <w:r>
        <w:t xml:space="preserve">, including but not limited to:</w:t>
      </w:r>
    </w:p>
    <w:p>
      <w:pPr>
        <w:numPr>
          <w:ilvl w:val="1"/>
          <w:numId w:val="1005"/>
        </w:numPr>
        <w:pStyle w:val="Compact"/>
      </w:pPr>
      <w:r>
        <w:t xml:space="preserve">Corporate governance and organizational structure, development strategy and business objectives;</w:t>
      </w:r>
    </w:p>
    <w:p>
      <w:pPr>
        <w:numPr>
          <w:ilvl w:val="1"/>
          <w:numId w:val="1005"/>
        </w:numPr>
        <w:pStyle w:val="Compact"/>
      </w:pPr>
      <w:r>
        <w:t xml:space="preserve">Corporate values, quality culture, employee competence and morale;</w:t>
      </w:r>
    </w:p>
    <w:p>
      <w:pPr>
        <w:numPr>
          <w:ilvl w:val="1"/>
          <w:numId w:val="1005"/>
        </w:numPr>
        <w:pStyle w:val="Compact"/>
      </w:pPr>
      <w:r>
        <w:t xml:space="preserve">Personnel capabilities, equipment and facility capabilities, technical and process levels;</w:t>
      </w:r>
    </w:p>
    <w:p>
      <w:pPr>
        <w:numPr>
          <w:ilvl w:val="1"/>
          <w:numId w:val="1005"/>
        </w:numPr>
        <w:pStyle w:val="Compact"/>
      </w:pPr>
      <w:r>
        <w:t xml:space="preserve">Knowledge resources, information systems, and data management capabilities;</w:t>
      </w:r>
    </w:p>
    <w:p>
      <w:pPr>
        <w:numPr>
          <w:ilvl w:val="1"/>
          <w:numId w:val="1005"/>
        </w:numPr>
        <w:pStyle w:val="Compact"/>
      </w:pPr>
      <w:r>
        <w:t xml:space="preserve">Product structure, market position, financial and operational performance.</w:t>
      </w:r>
    </w:p>
    <w:p>
      <w:pPr>
        <w:numPr>
          <w:ilvl w:val="0"/>
          <w:numId w:val="1003"/>
        </w:numPr>
        <w:pStyle w:val="Compact"/>
      </w:pPr>
      <w:r>
        <w:t xml:space="preserve">Identification Method: The QMS department organizes at least one systematic identification annually, which can be conducted through departmental seminars, questionnaires, data collection, and data analysis. Departments should supplement and report new significant factors discovered during routine work.</w:t>
      </w:r>
    </w:p>
    <w:p>
      <w:pPr>
        <w:numPr>
          <w:ilvl w:val="0"/>
          <w:numId w:val="1003"/>
        </w:numPr>
        <w:pStyle w:val="Compact"/>
      </w:pPr>
      <w:r>
        <w:t xml:space="preserve">The identification results are filled into the</w:t>
      </w:r>
      <w:r>
        <w:t xml:space="preserve"> </w:t>
      </w:r>
      <w:r>
        <w:t xml:space="preserve">“</w:t>
      </w:r>
      <w:r>
        <w:t xml:space="preserve">Organizational Environmental Factors Identification and Evaluation Form,</w:t>
      </w:r>
      <w:r>
        <w:t xml:space="preserve">”</w:t>
      </w:r>
      <w:r>
        <w:t xml:space="preserve"> </w:t>
      </w:r>
      <w:r>
        <w:t xml:space="preserve">noting the factor category (external/internal), specific content, source, impact direction (favorable/unfavorable), and relevant clauses.</w:t>
      </w:r>
    </w:p>
    <w:p>
      <w:pPr>
        <w:pStyle w:val="Heading3"/>
      </w:pPr>
      <w:bookmarkStart w:id="26" w:name="Xf82ea3ba8b9606ccbf43c3413e6cb2f5d5cc8c4"/>
      <w:r>
        <w:t xml:space="preserve">4.2 Analysis and Evaluation of Environmental Factors</w:t>
      </w:r>
      <w:bookmarkEnd w:id="26"/>
    </w:p>
    <w:p>
      <w:pPr>
        <w:numPr>
          <w:ilvl w:val="0"/>
          <w:numId w:val="1006"/>
        </w:numPr>
        <w:pStyle w:val="Compact"/>
      </w:pPr>
      <w:r>
        <w:t xml:space="preserve">The QMS department organizes the analysis and evaluation of identified environmental factors, which can be conducted using SWOT analysis (Strengths, Weaknesses, Opportunities, Threats), PEST analysis, or a risk matrix method to assess their impact on achieving the expected results of the quality management system.</w:t>
      </w:r>
    </w:p>
    <w:p>
      <w:pPr>
        <w:numPr>
          <w:ilvl w:val="0"/>
          <w:numId w:val="1006"/>
        </w:numPr>
        <w:pStyle w:val="Compact"/>
      </w:pPr>
      <w:r>
        <w:t xml:space="preserve">Evaluation dimensions generally include: impact level (high/medium/low), likelihood of occurrence (high/medium/low), and urgency. Factors with a comprehensive evaluation of</w:t>
      </w:r>
      <w:r>
        <w:t xml:space="preserve"> </w:t>
      </w:r>
      <w:r>
        <w:t xml:space="preserve">“</w:t>
      </w:r>
      <w:r>
        <w:t xml:space="preserve">high</w:t>
      </w:r>
      <w:r>
        <w:t xml:space="preserve">”</w:t>
      </w:r>
      <w:r>
        <w:t xml:space="preserve"> </w:t>
      </w:r>
      <w:r>
        <w:t xml:space="preserve">are listed as significant environmental factors, and response measures must be formulated with clear responsibilities and completion timelines.</w:t>
      </w:r>
    </w:p>
    <w:p>
      <w:pPr>
        <w:numPr>
          <w:ilvl w:val="0"/>
          <w:numId w:val="1006"/>
        </w:numPr>
        <w:pStyle w:val="Compact"/>
      </w:pPr>
      <w:r>
        <w:t xml:space="preserve">The conclusions of the analysis and evaluation are filled into the</w:t>
      </w:r>
      <w:r>
        <w:t xml:space="preserve"> </w:t>
      </w:r>
      <w:r>
        <w:t xml:space="preserve">“</w:t>
      </w:r>
      <w:r>
        <w:t xml:space="preserve">SWOT Analysis Form,</w:t>
      </w:r>
      <w:r>
        <w:t xml:space="preserve">”</w:t>
      </w:r>
      <w:r>
        <w:t xml:space="preserve"> </w:t>
      </w:r>
      <w:r>
        <w:t xml:space="preserve">serving as important input for determining strategic direction, identifying risks and opportunities (see the</w:t>
      </w:r>
      <w:r>
        <w:t xml:space="preserve"> </w:t>
      </w:r>
      <w:r>
        <w:t xml:space="preserve">“</w:t>
      </w:r>
      <w:r>
        <w:t xml:space="preserve">Risk and Opportunity Management Procedure</w:t>
      </w:r>
      <w:r>
        <w:t xml:space="preserve">”</w:t>
      </w:r>
      <w:r>
        <w:t xml:space="preserve">), and setting quality objectives.</w:t>
      </w:r>
    </w:p>
    <w:p>
      <w:pPr>
        <w:pStyle w:val="Heading3"/>
      </w:pPr>
      <w:bookmarkStart w:id="27" w:name="Xe7674b83cec5581b8f5e52d02b20fdbf469a71e"/>
      <w:r>
        <w:t xml:space="preserve">4.3 Identification and Determination of Stakeholder Needs and Expectations</w:t>
      </w:r>
      <w:bookmarkEnd w:id="27"/>
    </w:p>
    <w:p>
      <w:pPr>
        <w:numPr>
          <w:ilvl w:val="0"/>
          <w:numId w:val="1007"/>
        </w:numPr>
        <w:pStyle w:val="Compact"/>
      </w:pPr>
      <w:r>
        <w:t xml:space="preserve">The QMS department organizes the identification of stakeholders related to the quality management system, typically including:</w:t>
      </w:r>
    </w:p>
    <w:p>
      <w:pPr>
        <w:numPr>
          <w:ilvl w:val="1"/>
          <w:numId w:val="1008"/>
        </w:numPr>
        <w:pStyle w:val="Compact"/>
      </w:pPr>
      <w:r>
        <w:t xml:space="preserve">Customers (direct customers, end-users, distributors);</w:t>
      </w:r>
    </w:p>
    <w:p>
      <w:pPr>
        <w:numPr>
          <w:ilvl w:val="1"/>
          <w:numId w:val="1008"/>
        </w:numPr>
        <w:pStyle w:val="Compact"/>
      </w:pPr>
      <w:r>
        <w:t xml:space="preserve">Employees and employee representative organizations;</w:t>
      </w:r>
    </w:p>
    <w:p>
      <w:pPr>
        <w:numPr>
          <w:ilvl w:val="1"/>
          <w:numId w:val="1008"/>
        </w:numPr>
        <w:pStyle w:val="Compact"/>
      </w:pPr>
      <w:r>
        <w:t xml:space="preserve">Suppliers, subcontractors, service providers;</w:t>
      </w:r>
    </w:p>
    <w:p>
      <w:pPr>
        <w:numPr>
          <w:ilvl w:val="1"/>
          <w:numId w:val="1008"/>
        </w:numPr>
        <w:pStyle w:val="Compact"/>
      </w:pPr>
      <w:r>
        <w:t xml:space="preserve">Shareholders and investors;</w:t>
      </w:r>
    </w:p>
    <w:p>
      <w:pPr>
        <w:numPr>
          <w:ilvl w:val="1"/>
          <w:numId w:val="1008"/>
        </w:numPr>
        <w:pStyle w:val="Compact"/>
      </w:pPr>
      <w:r>
        <w:t xml:space="preserve">Government regulatory agencies (market regulation, environmental protection, safety supervision, taxation, etc.);</w:t>
      </w:r>
    </w:p>
    <w:p>
      <w:pPr>
        <w:numPr>
          <w:ilvl w:val="1"/>
          <w:numId w:val="1008"/>
        </w:numPr>
        <w:pStyle w:val="Compact"/>
      </w:pPr>
      <w:r>
        <w:t xml:space="preserve">The general public, communities, and non-governmental organizations;</w:t>
      </w:r>
    </w:p>
    <w:p>
      <w:pPr>
        <w:numPr>
          <w:ilvl w:val="1"/>
          <w:numId w:val="1008"/>
        </w:numPr>
        <w:pStyle w:val="Compact"/>
      </w:pPr>
      <w:r>
        <w:t xml:space="preserve">Industry associations, certification bodies, financial institutions, etc.</w:t>
      </w:r>
    </w:p>
    <w:p>
      <w:pPr>
        <w:numPr>
          <w:ilvl w:val="0"/>
          <w:numId w:val="1007"/>
        </w:numPr>
        <w:pStyle w:val="Compact"/>
      </w:pPr>
      <w:r>
        <w:t xml:space="preserve">For each stakeholder, determine their needs and expectations related to our company’s quality management system, for example:</w:t>
      </w:r>
    </w:p>
    <w:p>
      <w:pPr>
        <w:numPr>
          <w:ilvl w:val="1"/>
          <w:numId w:val="1009"/>
        </w:numPr>
        <w:pStyle w:val="Compact"/>
      </w:pPr>
      <w:r>
        <w:t xml:space="preserve">Customers: products meeting requirements, timely delivery, rapid service response, reasonable pricing;</w:t>
      </w:r>
    </w:p>
    <w:p>
      <w:pPr>
        <w:numPr>
          <w:ilvl w:val="1"/>
          <w:numId w:val="1009"/>
        </w:numPr>
        <w:pStyle w:val="Compact"/>
      </w:pPr>
      <w:r>
        <w:t xml:space="preserve">Employees: occupational safety, training and development, reasonable compensation, open communication channels;</w:t>
      </w:r>
    </w:p>
    <w:p>
      <w:pPr>
        <w:numPr>
          <w:ilvl w:val="1"/>
          <w:numId w:val="1009"/>
        </w:numPr>
        <w:pStyle w:val="Compact"/>
      </w:pPr>
      <w:r>
        <w:t xml:space="preserve">Suppliers: stable cooperation, timely settlement, transparent information;</w:t>
      </w:r>
    </w:p>
    <w:p>
      <w:pPr>
        <w:numPr>
          <w:ilvl w:val="1"/>
          <w:numId w:val="1009"/>
        </w:numPr>
        <w:pStyle w:val="Compact"/>
      </w:pPr>
      <w:r>
        <w:t xml:space="preserve">Shareholders: business performance, controllable risks, sustainable development;</w:t>
      </w:r>
    </w:p>
    <w:p>
      <w:pPr>
        <w:numPr>
          <w:ilvl w:val="1"/>
          <w:numId w:val="1009"/>
        </w:numPr>
        <w:pStyle w:val="Compact"/>
      </w:pPr>
      <w:r>
        <w:t xml:space="preserve">Regulatory agencies: legal compliance, quality and safety, environmental standards;</w:t>
      </w:r>
    </w:p>
    <w:p>
      <w:pPr>
        <w:numPr>
          <w:ilvl w:val="1"/>
          <w:numId w:val="1009"/>
        </w:numPr>
        <w:pStyle w:val="Compact"/>
      </w:pPr>
      <w:r>
        <w:t xml:space="preserve">The general public: product quality and safety, environmental protection, social responsibility.</w:t>
      </w:r>
    </w:p>
    <w:p>
      <w:pPr>
        <w:numPr>
          <w:ilvl w:val="0"/>
          <w:numId w:val="1007"/>
        </w:numPr>
        <w:pStyle w:val="Compact"/>
      </w:pPr>
      <w:r>
        <w:t xml:space="preserve">The identification results are filled into the</w:t>
      </w:r>
      <w:r>
        <w:t xml:space="preserve"> </w:t>
      </w:r>
      <w:r>
        <w:t xml:space="preserve">“</w:t>
      </w:r>
      <w:r>
        <w:t xml:space="preserve">Stakeholder Needs and Expectations Identification Form,</w:t>
      </w:r>
      <w:r>
        <w:t xml:space="preserve">”</w:t>
      </w:r>
      <w:r>
        <w:t xml:space="preserve"> </w:t>
      </w:r>
      <w:r>
        <w:t xml:space="preserve">noting the stakeholder name (category), main needs and expectations, impact on our company, and corresponding control measures.</w:t>
      </w:r>
    </w:p>
    <w:p>
      <w:pPr>
        <w:pStyle w:val="Heading3"/>
      </w:pPr>
      <w:bookmarkStart w:id="28" w:name="X469f4ee5341629d50c6950f9aebcb6a3b2e8669"/>
      <w:r>
        <w:t xml:space="preserve">4.4 Review and Transformation of Needs and Expectations</w:t>
      </w:r>
      <w:bookmarkEnd w:id="28"/>
    </w:p>
    <w:p>
      <w:pPr>
        <w:numPr>
          <w:ilvl w:val="0"/>
          <w:numId w:val="1010"/>
        </w:numPr>
        <w:pStyle w:val="Compact"/>
      </w:pPr>
      <w:r>
        <w:t xml:space="preserve">The QMS department reviews the identified stakeholder needs and expectations to determine:</w:t>
      </w:r>
    </w:p>
    <w:p>
      <w:pPr>
        <w:numPr>
          <w:ilvl w:val="1"/>
          <w:numId w:val="1011"/>
        </w:numPr>
        <w:pStyle w:val="Compact"/>
      </w:pPr>
      <w:r>
        <w:t xml:space="preserve">Whether they are related to the quality management system;</w:t>
      </w:r>
    </w:p>
    <w:p>
      <w:pPr>
        <w:numPr>
          <w:ilvl w:val="1"/>
          <w:numId w:val="1011"/>
        </w:numPr>
        <w:pStyle w:val="Compact"/>
      </w:pPr>
      <w:r>
        <w:t xml:space="preserve">Whether they have been met or can be met;</w:t>
      </w:r>
    </w:p>
    <w:p>
      <w:pPr>
        <w:numPr>
          <w:ilvl w:val="1"/>
          <w:numId w:val="1011"/>
        </w:numPr>
        <w:pStyle w:val="Compact"/>
      </w:pPr>
      <w:r>
        <w:t xml:space="preserve">Whether they constitute mandatory compliance obligations;</w:t>
      </w:r>
    </w:p>
    <w:p>
      <w:pPr>
        <w:numPr>
          <w:ilvl w:val="1"/>
          <w:numId w:val="1011"/>
        </w:numPr>
        <w:pStyle w:val="Compact"/>
      </w:pPr>
      <w:r>
        <w:t xml:space="preserve">Whether they need to be transformed into internal requirements (such as quality objectives, product requirements, process requirements, resource needs).</w:t>
      </w:r>
    </w:p>
    <w:p>
      <w:pPr>
        <w:numPr>
          <w:ilvl w:val="0"/>
          <w:numId w:val="1010"/>
        </w:numPr>
        <w:pStyle w:val="Compact"/>
      </w:pPr>
      <w:r>
        <w:t xml:space="preserve">Confirmed needs and expectations that require response are implemented through the following channels:</w:t>
      </w:r>
    </w:p>
    <w:p>
      <w:pPr>
        <w:numPr>
          <w:ilvl w:val="1"/>
          <w:numId w:val="1012"/>
        </w:numPr>
        <w:pStyle w:val="Compact"/>
      </w:pPr>
      <w:r>
        <w:t xml:space="preserve">Those involving strategic and risk levels are included in the</w:t>
      </w:r>
      <w:r>
        <w:t xml:space="preserve"> </w:t>
      </w:r>
      <w:r>
        <w:t xml:space="preserve">“</w:t>
      </w:r>
      <w:r>
        <w:t xml:space="preserve">Risk and Opportunity Management Procedure</w:t>
      </w:r>
      <w:r>
        <w:t xml:space="preserve">”</w:t>
      </w:r>
      <w:r>
        <w:t xml:space="preserve"> </w:t>
      </w:r>
      <w:r>
        <w:t xml:space="preserve">for comprehensive response;</w:t>
      </w:r>
    </w:p>
    <w:p>
      <w:pPr>
        <w:numPr>
          <w:ilvl w:val="1"/>
          <w:numId w:val="1012"/>
        </w:numPr>
        <w:pStyle w:val="Compact"/>
      </w:pPr>
      <w:r>
        <w:t xml:space="preserve">Those involving objective levels are included in the formulation and breakdown of annual quality objectives;</w:t>
      </w:r>
    </w:p>
    <w:p>
      <w:pPr>
        <w:numPr>
          <w:ilvl w:val="1"/>
          <w:numId w:val="1012"/>
        </w:numPr>
        <w:pStyle w:val="Compact"/>
      </w:pPr>
      <w:r>
        <w:t xml:space="preserve">Those involving product and service requirements are included in contract reviews and design and development inputs;</w:t>
      </w:r>
    </w:p>
    <w:p>
      <w:pPr>
        <w:numPr>
          <w:ilvl w:val="1"/>
          <w:numId w:val="1012"/>
        </w:numPr>
        <w:pStyle w:val="Compact"/>
      </w:pPr>
      <w:r>
        <w:t xml:space="preserve">Those involving resource levels are included in human resources, infrastructure, and monitoring and measurement resource planning.</w:t>
      </w:r>
    </w:p>
    <w:p>
      <w:pPr>
        <w:numPr>
          <w:ilvl w:val="0"/>
          <w:numId w:val="1010"/>
        </w:numPr>
        <w:pStyle w:val="Compact"/>
      </w:pPr>
      <w:r>
        <w:t xml:space="preserve">For significant changes such as changes in customer requirements or updates in laws and regulations, the QMS department should promptly organize supplementary reviews to ensure the system continuously meets requirements.</w:t>
      </w:r>
    </w:p>
    <w:p>
      <w:pPr>
        <w:pStyle w:val="Heading3"/>
      </w:pPr>
      <w:bookmarkStart w:id="29" w:name="monitoring-and-updating"/>
      <w:r>
        <w:t xml:space="preserve">4.5 Monitoring and Updating</w:t>
      </w:r>
      <w:bookmarkEnd w:id="29"/>
    </w:p>
    <w:p>
      <w:pPr>
        <w:numPr>
          <w:ilvl w:val="0"/>
          <w:numId w:val="1013"/>
        </w:numPr>
        <w:pStyle w:val="Compact"/>
      </w:pPr>
      <w:r>
        <w:t xml:space="preserve">The QMS department organizes at least one comprehensive review of environmental factors and stakeholder needs and expectations annually (usually before the annual management review), updating relevant forms.</w:t>
      </w:r>
    </w:p>
    <w:p>
      <w:pPr>
        <w:numPr>
          <w:ilvl w:val="0"/>
          <w:numId w:val="1013"/>
        </w:numPr>
        <w:pStyle w:val="Compact"/>
      </w:pPr>
      <w:r>
        <w:t xml:space="preserve">Updates should be initiated immediately in the following situations:</w:t>
      </w:r>
    </w:p>
    <w:p>
      <w:pPr>
        <w:numPr>
          <w:ilvl w:val="1"/>
          <w:numId w:val="1014"/>
        </w:numPr>
        <w:pStyle w:val="Compact"/>
      </w:pPr>
      <w:r>
        <w:t xml:space="preserve">Significant adjustments in the company’s strategy, organizational structure, or business scope;</w:t>
      </w:r>
    </w:p>
    <w:p>
      <w:pPr>
        <w:numPr>
          <w:ilvl w:val="1"/>
          <w:numId w:val="1014"/>
        </w:numPr>
        <w:pStyle w:val="Compact"/>
      </w:pPr>
      <w:r>
        <w:t xml:space="preserve">Significant changes in laws and regulations or industry standards;</w:t>
      </w:r>
    </w:p>
    <w:p>
      <w:pPr>
        <w:numPr>
          <w:ilvl w:val="1"/>
          <w:numId w:val="1014"/>
        </w:numPr>
        <w:pStyle w:val="Compact"/>
      </w:pPr>
      <w:r>
        <w:t xml:space="preserve">Significant changes in customer structure or key customer requirements;</w:t>
      </w:r>
    </w:p>
    <w:p>
      <w:pPr>
        <w:numPr>
          <w:ilvl w:val="1"/>
          <w:numId w:val="1014"/>
        </w:numPr>
        <w:pStyle w:val="Compact"/>
      </w:pPr>
      <w:r>
        <w:t xml:space="preserve">Occurrence of major quality incidents, major complaints, or major environmental changes;</w:t>
      </w:r>
    </w:p>
    <w:p>
      <w:pPr>
        <w:numPr>
          <w:ilvl w:val="1"/>
          <w:numId w:val="1014"/>
        </w:numPr>
        <w:pStyle w:val="Compact"/>
      </w:pPr>
      <w:r>
        <w:t xml:space="preserve">Management review or internal audit proposes relevant improvement requirements.</w:t>
      </w:r>
    </w:p>
    <w:p>
      <w:pPr>
        <w:numPr>
          <w:ilvl w:val="0"/>
          <w:numId w:val="1013"/>
        </w:numPr>
        <w:pStyle w:val="Compact"/>
      </w:pPr>
      <w:r>
        <w:t xml:space="preserve">The results of environmental and stakeholder analysis should be included as input for management review (see the</w:t>
      </w:r>
      <w:r>
        <w:t xml:space="preserve"> </w:t>
      </w:r>
      <w:r>
        <w:t xml:space="preserve">“</w:t>
      </w:r>
      <w:r>
        <w:t xml:space="preserve">Management Review Procedure</w:t>
      </w:r>
      <w:r>
        <w:t xml:space="preserve">”</w:t>
      </w:r>
      <w:r>
        <w:t xml:space="preserve">) to ensure that top management has a comprehensive understanding of the system’s operating environment.</w:t>
      </w:r>
    </w:p>
    <w:p>
      <w:pPr>
        <w:pStyle w:val="Heading3"/>
      </w:pPr>
      <w:bookmarkStart w:id="30" w:name="work-flow-diagram-text-version"/>
      <w:r>
        <w:t xml:space="preserve">4.6 Work Flow Diagram (Text Version)</w:t>
      </w:r>
      <w:bookmarkEnd w:id="30"/>
    </w:p>
    <w:p>
      <w:pPr>
        <w:pStyle w:val="SourceCode"/>
      </w:pPr>
      <w:r>
        <w:rPr>
          <w:rStyle w:val="VerbatimChar"/>
        </w:rPr>
        <w:t xml:space="preserve">Initiate at the beginning of each year (or when significant changes occur)</w:t>
      </w:r>
      <w:r>
        <w:br/>
      </w:r>
      <w:r>
        <w:rPr>
          <w:rStyle w:val="VerbatimChar"/>
        </w:rPr>
        <w:t xml:space="preserve">        ↓</w:t>
      </w:r>
      <w:r>
        <w:br/>
      </w:r>
      <w:r>
        <w:rPr>
          <w:rStyle w:val="VerbatimChar"/>
        </w:rPr>
        <w:t xml:space="preserve">Departments identify internal and external environmental factors and stakeholder needs</w:t>
      </w:r>
      <w:r>
        <w:br/>
      </w:r>
      <w:r>
        <w:rPr>
          <w:rStyle w:val="VerbatimChar"/>
        </w:rPr>
        <w:t xml:space="preserve">        ↓</w:t>
      </w:r>
      <w:r>
        <w:br/>
      </w:r>
      <w:r>
        <w:rPr>
          <w:rStyle w:val="VerbatimChar"/>
        </w:rPr>
        <w:t xml:space="preserve">Fill out the "Organizational Environmental Factors Identification and Evaluation Form" and the "Stakeholder Needs and Expectations Identification Form"</w:t>
      </w:r>
      <w:r>
        <w:br/>
      </w:r>
      <w:r>
        <w:rPr>
          <w:rStyle w:val="VerbatimChar"/>
        </w:rPr>
        <w:t xml:space="preserve">        ↓</w:t>
      </w:r>
      <w:r>
        <w:br/>
      </w:r>
      <w:r>
        <w:rPr>
          <w:rStyle w:val="VerbatimChar"/>
        </w:rPr>
        <w:t xml:space="preserve">QMS department compiles, analyzes, and evaluates (SWOT/risk matrix)</w:t>
      </w:r>
      <w:r>
        <w:br/>
      </w:r>
      <w:r>
        <w:rPr>
          <w:rStyle w:val="VerbatimChar"/>
        </w:rPr>
        <w:t xml:space="preserve">        ↓</w:t>
      </w:r>
      <w:r>
        <w:br/>
      </w:r>
      <w:r>
        <w:rPr>
          <w:rStyle w:val="VerbatimChar"/>
        </w:rPr>
        <w:t xml:space="preserve">General Manager chairs the review meeting, determines significant factors and response directions</w:t>
      </w:r>
      <w:r>
        <w:br/>
      </w:r>
      <w:r>
        <w:rPr>
          <w:rStyle w:val="VerbatimChar"/>
        </w:rPr>
        <w:t xml:space="preserve">        ↓</w:t>
      </w:r>
      <w:r>
        <w:br/>
      </w:r>
      <w:r>
        <w:rPr>
          <w:rStyle w:val="VerbatimChar"/>
        </w:rPr>
        <w:t xml:space="preserve">Formulate and implement response measures (incorporated into risk, objective, and resource planning)</w:t>
      </w:r>
      <w:r>
        <w:br/>
      </w:r>
      <w:r>
        <w:rPr>
          <w:rStyle w:val="VerbatimChar"/>
        </w:rPr>
        <w:t xml:space="preserve">        ↓</w:t>
      </w:r>
      <w:r>
        <w:br/>
      </w:r>
      <w:r>
        <w:rPr>
          <w:rStyle w:val="VerbatimChar"/>
        </w:rPr>
        <w:t xml:space="preserve">Routine monitoring + annual review and update</w:t>
      </w:r>
      <w:r>
        <w:br/>
      </w:r>
      <w:r>
        <w:rPr>
          <w:rStyle w:val="VerbatimChar"/>
        </w:rPr>
        <w:t xml:space="preserve">        ↓</w:t>
      </w:r>
      <w:r>
        <w:br/>
      </w:r>
      <w:r>
        <w:rPr>
          <w:rStyle w:val="VerbatimChar"/>
        </w:rPr>
        <w:t xml:space="preserve">Results as input for management review</w:t>
      </w:r>
    </w:p>
    <w:p>
      <w:pPr>
        <w:pStyle w:val="Heading2"/>
      </w:pPr>
      <w:bookmarkStart w:id="31" w:name="related-records"/>
      <w:r>
        <w:t xml:space="preserve">5. Related Records</w:t>
      </w:r>
      <w:bookmarkEnd w:id="3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Code</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Storage Period</w:t>
            </w:r>
          </w:p>
        </w:tc>
      </w:tr>
      <w:tr>
        <w:tc>
          <w:p>
            <w:pPr>
              <w:pStyle w:val="Compact"/>
              <w:jc w:val="left"/>
            </w:pPr>
            <w:r>
              <w:t xml:space="preserve">1</w:t>
            </w:r>
          </w:p>
        </w:tc>
        <w:tc>
          <w:p>
            <w:pPr>
              <w:pStyle w:val="Compact"/>
              <w:jc w:val="left"/>
            </w:pPr>
            <w:r>
              <w:t xml:space="preserve">Organizational Environmental Factors Identification and Evaluation Form</w:t>
            </w:r>
          </w:p>
        </w:tc>
        <w:tc>
          <w:p>
            <w:pPr>
              <w:pStyle w:val="Compact"/>
              <w:jc w:val="left"/>
            </w:pPr>
            <w:r>
              <w:t xml:space="preserve">QR-5-01</w:t>
            </w:r>
          </w:p>
        </w:tc>
        <w:tc>
          <w:p>
            <w:pPr>
              <w:pStyle w:val="Compact"/>
              <w:jc w:val="left"/>
            </w:pPr>
            <w:r>
              <w:t xml:space="preserve">QMS Department</w:t>
            </w:r>
          </w:p>
        </w:tc>
        <w:tc>
          <w:p>
            <w:pPr>
              <w:pStyle w:val="Compact"/>
              <w:jc w:val="left"/>
            </w:pPr>
            <w:r>
              <w:t xml:space="preserve">3 years</w:t>
            </w:r>
          </w:p>
        </w:tc>
      </w:tr>
      <w:tr>
        <w:tc>
          <w:p>
            <w:pPr>
              <w:pStyle w:val="Compact"/>
              <w:jc w:val="left"/>
            </w:pPr>
            <w:r>
              <w:t xml:space="preserve">2</w:t>
            </w:r>
          </w:p>
        </w:tc>
        <w:tc>
          <w:p>
            <w:pPr>
              <w:pStyle w:val="Compact"/>
              <w:jc w:val="left"/>
            </w:pPr>
            <w:r>
              <w:t xml:space="preserve">Stakeholder Needs and Expectations Identification Form</w:t>
            </w:r>
          </w:p>
        </w:tc>
        <w:tc>
          <w:p>
            <w:pPr>
              <w:pStyle w:val="Compact"/>
              <w:jc w:val="left"/>
            </w:pPr>
            <w:r>
              <w:t xml:space="preserve">QR-5-02</w:t>
            </w:r>
          </w:p>
        </w:tc>
        <w:tc>
          <w:p>
            <w:pPr>
              <w:pStyle w:val="Compact"/>
              <w:jc w:val="left"/>
            </w:pPr>
            <w:r>
              <w:t xml:space="preserve">QMS Department</w:t>
            </w:r>
          </w:p>
        </w:tc>
        <w:tc>
          <w:p>
            <w:pPr>
              <w:pStyle w:val="Compact"/>
              <w:jc w:val="left"/>
            </w:pPr>
            <w:r>
              <w:t xml:space="preserve">3 years</w:t>
            </w:r>
          </w:p>
        </w:tc>
      </w:tr>
      <w:tr>
        <w:tc>
          <w:p>
            <w:pPr>
              <w:pStyle w:val="Compact"/>
              <w:jc w:val="left"/>
            </w:pPr>
            <w:r>
              <w:t xml:space="preserve">3</w:t>
            </w:r>
          </w:p>
        </w:tc>
        <w:tc>
          <w:p>
            <w:pPr>
              <w:pStyle w:val="Compact"/>
              <w:jc w:val="left"/>
            </w:pPr>
            <w:r>
              <w:t xml:space="preserve">SWOT Analysis Form</w:t>
            </w:r>
          </w:p>
        </w:tc>
        <w:tc>
          <w:p>
            <w:pPr>
              <w:pStyle w:val="Compact"/>
              <w:jc w:val="left"/>
            </w:pPr>
            <w:r>
              <w:t xml:space="preserve">QR-5-03</w:t>
            </w:r>
          </w:p>
        </w:tc>
        <w:tc>
          <w:p>
            <w:pPr>
              <w:pStyle w:val="Compact"/>
              <w:jc w:val="left"/>
            </w:pPr>
            <w:r>
              <w:t xml:space="preserve">QMS Department</w:t>
            </w:r>
          </w:p>
        </w:tc>
        <w:tc>
          <w:p>
            <w:pPr>
              <w:pStyle w:val="Compact"/>
              <w:jc w:val="left"/>
            </w:pPr>
            <w:r>
              <w:t xml:space="preserve">3 years</w:t>
            </w:r>
          </w:p>
        </w:tc>
      </w:tr>
      <w:tr>
        <w:tc>
          <w:p>
            <w:pPr>
              <w:pStyle w:val="Compact"/>
              <w:jc w:val="left"/>
            </w:pPr>
            <w:r>
              <w:t xml:space="preserve">4</w:t>
            </w:r>
          </w:p>
        </w:tc>
        <w:tc>
          <w:p>
            <w:pPr>
              <w:pStyle w:val="Compact"/>
              <w:jc w:val="left"/>
            </w:pPr>
            <w:r>
              <w:t xml:space="preserve">Environmental and Stakeholder Review Meeting Minutes</w:t>
            </w:r>
          </w:p>
        </w:tc>
        <w:tc>
          <w:p>
            <w:pPr>
              <w:pStyle w:val="Compact"/>
              <w:jc w:val="left"/>
            </w:pPr>
            <w:r>
              <w:t xml:space="preserve">QR-5-04</w:t>
            </w:r>
          </w:p>
        </w:tc>
        <w:tc>
          <w:p>
            <w:pPr>
              <w:pStyle w:val="Compact"/>
              <w:jc w:val="left"/>
            </w:pPr>
            <w:r>
              <w:t xml:space="preserve">QMS Department</w:t>
            </w:r>
          </w:p>
        </w:tc>
        <w:tc>
          <w:p>
            <w:pPr>
              <w:pStyle w:val="Compact"/>
              <w:jc w:val="left"/>
            </w:pPr>
            <w:r>
              <w:t xml:space="preserve">3 years</w:t>
            </w:r>
          </w:p>
        </w:tc>
      </w:tr>
    </w:tbl>
    <w:p>
      <w:pPr>
        <w:pStyle w:val="BodyText"/>
      </w:pPr>
      <w:r>
        <w:t xml:space="preserve">Form filling requirements: Factor descriptions should be specific and verifiable, avoiding vague terms (e.g.,</w:t>
      </w:r>
      <w:r>
        <w:t xml:space="preserve"> </w:t>
      </w:r>
      <w:r>
        <w:t xml:space="preserve">“</w:t>
      </w:r>
      <w:r>
        <w:t xml:space="preserve">raw material price increase</w:t>
      </w:r>
      <w:r>
        <w:t xml:space="preserve">”</w:t>
      </w:r>
      <w:r>
        <w:t xml:space="preserve"> </w:t>
      </w:r>
      <w:r>
        <w:t xml:space="preserve">is better than</w:t>
      </w:r>
      <w:r>
        <w:t xml:space="preserve"> </w:t>
      </w:r>
      <w:r>
        <w:t xml:space="preserve">“</w:t>
      </w:r>
      <w:r>
        <w:t xml:space="preserve">market fluctuation</w:t>
      </w:r>
      <w:r>
        <w:t xml:space="preserve">”</w:t>
      </w:r>
      <w:r>
        <w:t xml:space="preserve">); impact levels and response measures must be filled out correspondingly; forms take effect after being reviewed by the department head and approved by the management representative.</w:t>
      </w:r>
    </w:p>
    <w:p>
      <w:pPr>
        <w:pStyle w:val="Heading2"/>
      </w:pPr>
      <w:bookmarkStart w:id="32" w:name="usage-instructions"/>
      <w:r>
        <w:t xml:space="preserve">6. Usage Instructions</w:t>
      </w:r>
      <w:bookmarkEnd w:id="32"/>
    </w:p>
    <w:p>
      <w:pPr>
        <w:pStyle w:val="Heading3"/>
      </w:pPr>
      <w:bookmarkStart w:id="33" w:name="X5f04900098b791ca583e959edabd28c310a6bbc"/>
      <w:r>
        <w:t xml:space="preserve">1. How to Modify According to Actual Enterprise Conditions</w:t>
      </w:r>
      <w:bookmarkEnd w:id="33"/>
    </w:p>
    <w:p>
      <w:pPr>
        <w:numPr>
          <w:ilvl w:val="0"/>
          <w:numId w:val="1015"/>
        </w:numPr>
        <w:pStyle w:val="Compact"/>
      </w:pPr>
      <w:r>
        <w:rPr>
          <w:b/>
        </w:rPr>
        <w:t xml:space="preserve">Organizational Structure Adaptation</w:t>
      </w:r>
      <w:r>
        <w:t xml:space="preserve">: The responsibilities of the</w:t>
      </w:r>
      <w:r>
        <w:t xml:space="preserve"> </w:t>
      </w:r>
      <w:r>
        <w:t xml:space="preserve">“</w:t>
      </w:r>
      <w:r>
        <w:t xml:space="preserve">Management Representative (or QMS Department)</w:t>
      </w:r>
      <w:r>
        <w:t xml:space="preserve">”</w:t>
      </w:r>
      <w:r>
        <w:t xml:space="preserve"> </w:t>
      </w:r>
      <w:r>
        <w:t xml:space="preserve">in the template can be combined and handled by the Quality Department manager in small enterprises. In medium-sized enterprises, a QMS promotion team led by the Enterprise Management Department and involving various departments can be established; the responsibility allocation table should be consistent with the responsibility descriptions in the</w:t>
      </w:r>
      <w:r>
        <w:t xml:space="preserve"> </w:t>
      </w:r>
      <w:r>
        <w:t xml:space="preserve">“</w:t>
      </w:r>
      <w:r>
        <w:t xml:space="preserve">Quality Manual.</w:t>
      </w:r>
      <w:r>
        <w:t xml:space="preserve">”</w:t>
      </w:r>
    </w:p>
    <w:p>
      <w:pPr>
        <w:numPr>
          <w:ilvl w:val="0"/>
          <w:numId w:val="1015"/>
        </w:numPr>
        <w:pStyle w:val="Compact"/>
      </w:pPr>
      <w:r>
        <w:rPr>
          <w:b/>
        </w:rPr>
        <w:t xml:space="preserve">Industry Characteristics Adaptation</w:t>
      </w:r>
      <w:r>
        <w:t xml:space="preserve">: Manufacturing enterprises should focus on identifying internal factors such as raw material supply, equipment capabilities, and process stability, as well as external regulatory requirements such as environmental protection and safety supervision. Service enterprises should focus on identifying customer experience, employee turnover rates, and digital platforms. Trading enterprises should focus on identifying supply chain and exchange rate risks. Categories of factors can be added or deleted as needed, without being limited to those listed in the template.</w:t>
      </w:r>
    </w:p>
    <w:p>
      <w:pPr>
        <w:numPr>
          <w:ilvl w:val="0"/>
          <w:numId w:val="1015"/>
        </w:numPr>
        <w:pStyle w:val="Compact"/>
      </w:pPr>
      <w:r>
        <w:rPr>
          <w:b/>
        </w:rPr>
        <w:t xml:space="preserve">Identification Frequency Adaptation</w:t>
      </w:r>
      <w:r>
        <w:t xml:space="preserve">: Start-up or rapidly growing enterprises are advised to identify factors every six months; mature enterprises with stable operations can do so annually; enterprises undergoing significant transformations (mergers, expansions, new product lines) should initiate supplementary identification as needed.</w:t>
      </w:r>
    </w:p>
    <w:p>
      <w:pPr>
        <w:numPr>
          <w:ilvl w:val="0"/>
          <w:numId w:val="1015"/>
        </w:numPr>
        <w:pStyle w:val="Compact"/>
      </w:pPr>
      <w:r>
        <w:rPr>
          <w:b/>
        </w:rPr>
        <w:t xml:space="preserve">Form Customization</w:t>
      </w:r>
      <w:r>
        <w:t xml:space="preserve">: For smaller enterprises, the</w:t>
      </w:r>
      <w:r>
        <w:t xml:space="preserve"> </w:t>
      </w:r>
      <w:r>
        <w:t xml:space="preserve">“</w:t>
      </w:r>
      <w:r>
        <w:t xml:space="preserve">Organizational Environmental Factors Identification and Evaluation Form</w:t>
      </w:r>
      <w:r>
        <w:t xml:space="preserve">”</w:t>
      </w:r>
      <w:r>
        <w:t xml:space="preserve"> </w:t>
      </w:r>
      <w:r>
        <w:t xml:space="preserve">and the</w:t>
      </w:r>
      <w:r>
        <w:t xml:space="preserve"> </w:t>
      </w:r>
      <w:r>
        <w:t xml:space="preserve">“</w:t>
      </w:r>
      <w:r>
        <w:t xml:space="preserve">Stakeholder Needs and Expectations Identification Form</w:t>
      </w:r>
      <w:r>
        <w:t xml:space="preserve">”</w:t>
      </w:r>
      <w:r>
        <w:t xml:space="preserve"> </w:t>
      </w:r>
      <w:r>
        <w:t xml:space="preserve">can be combined into a single</w:t>
      </w:r>
      <w:r>
        <w:t xml:space="preserve"> </w:t>
      </w:r>
      <w:r>
        <w:t xml:space="preserve">“</w:t>
      </w:r>
      <w:r>
        <w:t xml:space="preserve">Environmental and Stakeholder Analysis Form,</w:t>
      </w:r>
      <w:r>
        <w:t xml:space="preserve">”</w:t>
      </w:r>
      <w:r>
        <w:t xml:space="preserve"> </w:t>
      </w:r>
      <w:r>
        <w:t xml:space="preserve">but the fields should retain complete categories, content, impact evaluations, and response measures.</w:t>
      </w:r>
    </w:p>
    <w:p>
      <w:pPr>
        <w:pStyle w:val="Heading3"/>
      </w:pPr>
      <w:bookmarkStart w:id="34" w:name="audit-focus-points"/>
      <w:r>
        <w:t xml:space="preserve">2. Audit Focus Points</w:t>
      </w:r>
      <w:bookmarkEnd w:id="34"/>
    </w:p>
    <w:p>
      <w:pPr>
        <w:numPr>
          <w:ilvl w:val="0"/>
          <w:numId w:val="1016"/>
        </w:numPr>
        <w:pStyle w:val="Compact"/>
      </w:pPr>
      <w:r>
        <w:t xml:space="preserve">Auditors will verify whether there is documented information proving that the enterprise has identified internal and external environmental factors and stakeholder needs—verbal explanations without records are typically considered non-conformities.</w:t>
      </w:r>
    </w:p>
    <w:p>
      <w:pPr>
        <w:numPr>
          <w:ilvl w:val="0"/>
          <w:numId w:val="1016"/>
        </w:numPr>
        <w:pStyle w:val="Compact"/>
      </w:pPr>
      <w:r>
        <w:t xml:space="preserve">Key checks on the logical chain between environmental factors and risk analysis, and quality objectives: whether significant unfavorable factors identified are listed in the risk register, and whether stakeholder requirements are transformed into objectives or process requirements.</w:t>
      </w:r>
    </w:p>
    <w:p>
      <w:pPr>
        <w:numPr>
          <w:ilvl w:val="0"/>
          <w:numId w:val="1016"/>
        </w:numPr>
        <w:pStyle w:val="Compact"/>
      </w:pPr>
      <w:r>
        <w:t xml:space="preserve">Check the update mechanism: only initial identification and no updates for three years are common evidence of system failure.</w:t>
      </w:r>
    </w:p>
    <w:p>
      <w:pPr>
        <w:numPr>
          <w:ilvl w:val="0"/>
          <w:numId w:val="1016"/>
        </w:numPr>
        <w:pStyle w:val="Compact"/>
      </w:pPr>
      <w:r>
        <w:t xml:space="preserve">Check whether the management review records include the results and review conclusions of environmental and stakeholder analysis.</w:t>
      </w:r>
    </w:p>
    <w:p>
      <w:pPr>
        <w:pStyle w:val="Heading3"/>
      </w:pPr>
      <w:bookmarkStart w:id="35" w:name="common-errors"/>
      <w:r>
        <w:t xml:space="preserve">3. Common Errors</w:t>
      </w:r>
      <w:bookmarkEnd w:id="35"/>
    </w:p>
    <w:p>
      <w:pPr>
        <w:numPr>
          <w:ilvl w:val="0"/>
          <w:numId w:val="1017"/>
        </w:numPr>
        <w:pStyle w:val="Compact"/>
      </w:pPr>
      <w:r>
        <w:rPr>
          <w:b/>
        </w:rPr>
        <w:t xml:space="preserve">Equating Stakeholders with Customers</w:t>
      </w:r>
      <w:r>
        <w:t xml:space="preserve">: Identifying only customer needs and ignoring those of employees, suppliers, regulatory agencies, etc., leading to omissions in compliance obligations.</w:t>
      </w:r>
    </w:p>
    <w:p>
      <w:pPr>
        <w:numPr>
          <w:ilvl w:val="0"/>
          <w:numId w:val="1017"/>
        </w:numPr>
        <w:pStyle w:val="Compact"/>
      </w:pPr>
      <w:r>
        <w:rPr>
          <w:b/>
        </w:rPr>
        <w:t xml:space="preserve">Disconnection Between Identification and Analysis</w:t>
      </w:r>
      <w:r>
        <w:t xml:space="preserve">: Filling out forms without conducting impact evaluations, or evaluating without formulating response measures, resulting in a</w:t>
      </w:r>
      <w:r>
        <w:t xml:space="preserve"> </w:t>
      </w:r>
      <w:r>
        <w:t xml:space="preserve">“</w:t>
      </w:r>
      <w:r>
        <w:t xml:space="preserve">two-skin</w:t>
      </w:r>
      <w:r>
        <w:t xml:space="preserve">”</w:t>
      </w:r>
      <w:r>
        <w:t xml:space="preserve"> </w:t>
      </w:r>
      <w:r>
        <w:t xml:space="preserve">phenomenon.</w:t>
      </w:r>
    </w:p>
    <w:p>
      <w:pPr>
        <w:numPr>
          <w:ilvl w:val="0"/>
          <w:numId w:val="1017"/>
        </w:numPr>
        <w:pStyle w:val="Compact"/>
      </w:pPr>
      <w:r>
        <w:rPr>
          <w:b/>
        </w:rPr>
        <w:t xml:space="preserve">Focusing Only on Favorable Factors</w:t>
      </w:r>
      <w:r>
        <w:t xml:space="preserve">: Avoiding unfavorable factors and threats, which diminishes the decision-making value of the analysis.</w:t>
      </w:r>
    </w:p>
    <w:p>
      <w:pPr>
        <w:numPr>
          <w:ilvl w:val="0"/>
          <w:numId w:val="1017"/>
        </w:numPr>
        <w:pStyle w:val="Compact"/>
      </w:pPr>
      <w:r>
        <w:rPr>
          <w:b/>
        </w:rPr>
        <w:t xml:space="preserve">Untimely Updates</w:t>
      </w:r>
      <w:r>
        <w:t xml:space="preserve">: Failing to update identification results after strategic adjustments or regulatory changes.</w:t>
      </w:r>
    </w:p>
    <w:p>
      <w:pPr>
        <w:numPr>
          <w:ilvl w:val="0"/>
          <w:numId w:val="1017"/>
        </w:numPr>
        <w:pStyle w:val="Compact"/>
      </w:pPr>
      <w:r>
        <w:rPr>
          <w:b/>
        </w:rPr>
        <w:t xml:space="preserve">Confusion with Risk Clauses</w:t>
      </w:r>
      <w:r>
        <w:t xml:space="preserve">: Clauses 4.1/4.2 are about</w:t>
      </w:r>
      <w:r>
        <w:t xml:space="preserve"> </w:t>
      </w:r>
      <w:r>
        <w:t xml:space="preserve">“</w:t>
      </w:r>
      <w:r>
        <w:t xml:space="preserve">identifying the environment and stakeholders,</w:t>
      </w:r>
      <w:r>
        <w:t xml:space="preserve">”</w:t>
      </w:r>
      <w:r>
        <w:t xml:space="preserve"> </w:t>
      </w:r>
      <w:r>
        <w:t xml:space="preserve">while clause 6.1 is about</w:t>
      </w:r>
      <w:r>
        <w:t xml:space="preserve"> </w:t>
      </w:r>
      <w:r>
        <w:t xml:space="preserve">“</w:t>
      </w:r>
      <w:r>
        <w:t xml:space="preserve">planning for risks and opportunities.</w:t>
      </w:r>
      <w:r>
        <w:t xml:space="preserve">”</w:t>
      </w:r>
      <w:r>
        <w:t xml:space="preserve"> </w:t>
      </w:r>
      <w:r>
        <w:t xml:space="preserve">The two are input and output relationships and cannot replace each other.</w:t>
      </w:r>
    </w:p>
    <w:p>
      <w:pPr>
        <w:numPr>
          <w:ilvl w:val="0"/>
          <w:numId w:val="1017"/>
        </w:numPr>
        <w:pStyle w:val="Compact"/>
      </w:pPr>
      <w:r>
        <w:rPr>
          <w:b/>
        </w:rPr>
        <w:t xml:space="preserve">Copying Templates Without Implementation</w:t>
      </w:r>
      <w:r>
        <w:t xml:space="preserve">: Directly using generic analysis forms downloaded from the internet, where the content is unrelated to the actual business operations of the enterprise, and the audit will easily expose this.</w:t>
      </w:r>
    </w:p>
    <w:p>
      <w:r>
        <w:pict>
          <v:rect style="width:0;height:1.5pt" o:hralign="center" o:hrstd="t" o:hr="t"/>
        </w:pict>
      </w:r>
    </w:p>
    <w:p>
      <w:pPr>
        <w:pStyle w:val="BlockText"/>
      </w:pPr>
      <w:r>
        <w:t xml:space="preserve">Understand the environment, clarify stakeholders, and the system can be rooted in operations.</w:t>
      </w:r>
    </w:p>
    <w:p>
      <w:pPr>
        <w:pStyle w:val="FirstParagraph"/>
      </w:pPr>
      <w:r>
        <w:t xml:space="preserve">Knowledge Number: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2026-09-13T05:40:35Z</dcterms:created>
  <dcterms:modified xsi:type="dcterms:W3CDTF">2026-09-13T05:40:35Z</dcterms:modified>
</cp:coreProperties>
</file>

<file path=docProps/custom.xml><?xml version="1.0" encoding="utf-8"?>
<Properties xmlns="http://schemas.openxmlformats.org/officeDocument/2006/custom-properties" xmlns:vt="http://schemas.openxmlformats.org/officeDocument/2006/docPropsVTypes"/>
</file>